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6660" w:rsidRPr="00AA60C1" w:rsidRDefault="00756660" w:rsidP="00756660">
      <w:pPr>
        <w:jc w:val="both"/>
        <w:rPr>
          <w:b/>
          <w:bCs/>
        </w:rPr>
      </w:pPr>
      <w:r w:rsidRPr="00AA60C1">
        <w:rPr>
          <w:b/>
          <w:bCs/>
        </w:rPr>
        <w:t xml:space="preserve">Wymagania dot. projektowania i realizacji robót budowlanych dla </w:t>
      </w:r>
      <w:r>
        <w:rPr>
          <w:b/>
          <w:bCs/>
        </w:rPr>
        <w:t xml:space="preserve">istniejących </w:t>
      </w:r>
      <w:r w:rsidRPr="00AA60C1">
        <w:rPr>
          <w:b/>
          <w:bCs/>
        </w:rPr>
        <w:t>budynków</w:t>
      </w:r>
      <w:r>
        <w:rPr>
          <w:b/>
          <w:bCs/>
        </w:rPr>
        <w:t xml:space="preserve"> (realizacja inwestycji w trybie „wybuduj”)</w:t>
      </w:r>
    </w:p>
    <w:p w:rsidR="00756660" w:rsidRDefault="00756660" w:rsidP="00756660">
      <w:pPr>
        <w:pStyle w:val="Akapitzlist"/>
        <w:numPr>
          <w:ilvl w:val="0"/>
          <w:numId w:val="6"/>
        </w:numPr>
        <w:ind w:left="426" w:hanging="371"/>
        <w:jc w:val="both"/>
      </w:pPr>
      <w:r w:rsidRPr="00060A51">
        <w:t>Roboty budowlane i projektowe muszą być realizowane zgodnie z technicznymi kryteriami kwalifikacji określonymi w Zał. I oraz Zał. II do Rozporządzenia Delegowanego Komisji (UE) 2021/2139 z dnia 4 czerwca 2021 r. uzupełniającego rozporządzenie Parlamentu Europejskiego i Rady (UE) 2020/852</w:t>
      </w:r>
      <w:r>
        <w:t xml:space="preserve"> </w:t>
      </w:r>
      <w:r w:rsidRPr="00060A51">
        <w:t xml:space="preserve">dla </w:t>
      </w:r>
      <w:r>
        <w:t xml:space="preserve">następujących </w:t>
      </w:r>
      <w:r w:rsidRPr="00060A51">
        <w:t>działalności</w:t>
      </w:r>
      <w:r>
        <w:t>:</w:t>
      </w:r>
    </w:p>
    <w:p w:rsidR="00756660" w:rsidRDefault="00756660" w:rsidP="00756660">
      <w:pPr>
        <w:pStyle w:val="Akapitzlist"/>
        <w:numPr>
          <w:ilvl w:val="0"/>
          <w:numId w:val="7"/>
        </w:numPr>
        <w:jc w:val="both"/>
      </w:pPr>
      <w:r w:rsidRPr="00060A51">
        <w:t>7.</w:t>
      </w:r>
      <w:r>
        <w:t>2</w:t>
      </w:r>
      <w:r w:rsidRPr="00060A51">
        <w:t xml:space="preserve"> „</w:t>
      </w:r>
      <w:r>
        <w:t xml:space="preserve">Renowacja istniejących </w:t>
      </w:r>
      <w:r w:rsidRPr="00060A51">
        <w:t>budynków”,</w:t>
      </w:r>
    </w:p>
    <w:p w:rsidR="00756660" w:rsidRDefault="00756660" w:rsidP="00756660">
      <w:pPr>
        <w:pStyle w:val="Akapitzlist"/>
        <w:numPr>
          <w:ilvl w:val="0"/>
          <w:numId w:val="7"/>
        </w:numPr>
        <w:jc w:val="both"/>
      </w:pPr>
      <w:r>
        <w:t>4.1 „Produkcja energii elektrycznej z wykorzystaniem technologii fotowoltaicznej”,</w:t>
      </w:r>
    </w:p>
    <w:p w:rsidR="00756660" w:rsidRDefault="00756660" w:rsidP="00756660">
      <w:pPr>
        <w:pStyle w:val="Akapitzlist"/>
        <w:numPr>
          <w:ilvl w:val="0"/>
          <w:numId w:val="7"/>
        </w:numPr>
        <w:jc w:val="both"/>
      </w:pPr>
      <w:r>
        <w:t>4.16 „Instalacja i eksploatacja elektrycznych pomp ciepła”,</w:t>
      </w:r>
    </w:p>
    <w:p w:rsidR="00756660" w:rsidRDefault="00756660" w:rsidP="00756660">
      <w:pPr>
        <w:pStyle w:val="Akapitzlist"/>
        <w:numPr>
          <w:ilvl w:val="0"/>
          <w:numId w:val="7"/>
        </w:numPr>
        <w:jc w:val="both"/>
      </w:pPr>
      <w:r>
        <w:t>7.6 „Montaż, konserwacja i naprawa systemów technologii energii odnawialnej”.</w:t>
      </w:r>
    </w:p>
    <w:p w:rsidR="00756660" w:rsidRPr="00060A51" w:rsidRDefault="00756660" w:rsidP="00756660">
      <w:pPr>
        <w:pStyle w:val="Akapitzlist"/>
        <w:ind w:left="426"/>
        <w:jc w:val="both"/>
      </w:pPr>
      <w:r>
        <w:t xml:space="preserve">Powyższe </w:t>
      </w:r>
      <w:r w:rsidRPr="00060A51">
        <w:t>oznacza, że w szczególności należy spełnić następujące wymagania:</w:t>
      </w:r>
    </w:p>
    <w:p w:rsidR="00756660" w:rsidRPr="00AA60C1" w:rsidRDefault="00756660" w:rsidP="00756660">
      <w:pPr>
        <w:pStyle w:val="Akapitzlist"/>
        <w:numPr>
          <w:ilvl w:val="0"/>
          <w:numId w:val="1"/>
        </w:numPr>
        <w:spacing w:after="0"/>
        <w:ind w:left="993"/>
        <w:jc w:val="both"/>
        <w:rPr>
          <w:rFonts w:cstheme="minorHAnsi"/>
        </w:rPr>
      </w:pPr>
      <w:r w:rsidRPr="00AA60C1">
        <w:rPr>
          <w:rFonts w:cstheme="minorHAnsi"/>
        </w:rPr>
        <w:t>Budynek nie może służyć w jakimkolwiek stopniu do wydobycia, magazynowania, transportu lub produkcji paliw kopalnych.</w:t>
      </w:r>
    </w:p>
    <w:p w:rsidR="00756660" w:rsidRPr="009560E6" w:rsidRDefault="00756660" w:rsidP="00756660">
      <w:pPr>
        <w:pStyle w:val="Akapitzlist"/>
        <w:numPr>
          <w:ilvl w:val="0"/>
          <w:numId w:val="1"/>
        </w:numPr>
        <w:spacing w:after="0"/>
        <w:ind w:left="993"/>
        <w:jc w:val="both"/>
        <w:rPr>
          <w:rFonts w:cstheme="minorHAnsi"/>
        </w:rPr>
      </w:pPr>
      <w:r w:rsidRPr="00965C86">
        <w:t xml:space="preserve">Zapotrzebowanie </w:t>
      </w:r>
      <w:r>
        <w:t xml:space="preserve">energetyczne budynku </w:t>
      </w:r>
      <w:r w:rsidRPr="00965C86">
        <w:t xml:space="preserve">na energię pierwotną </w:t>
      </w:r>
      <w:r>
        <w:t xml:space="preserve">należy potwierdzić </w:t>
      </w:r>
      <w:r w:rsidRPr="00965C86">
        <w:t>powykonawcz</w:t>
      </w:r>
      <w:r>
        <w:t>ym</w:t>
      </w:r>
      <w:r w:rsidRPr="00965C86">
        <w:t xml:space="preserve"> świadectw</w:t>
      </w:r>
      <w:r>
        <w:t>em</w:t>
      </w:r>
      <w:r w:rsidRPr="00965C86">
        <w:t xml:space="preserve"> charakterystyki energetycznej</w:t>
      </w:r>
      <w:r>
        <w:t xml:space="preserve"> - o ile w wyniku realizacji inwestycji zmianie uległa charakterystyka energetyczna budynku lub części budynku (tj. </w:t>
      </w:r>
      <w:r w:rsidRPr="009560E6">
        <w:t>stosownie do przepisów art. 14 ust. 2 ustawy z dnia 29 sierpnia 2014 r. o charakterystyce energetycznej budynków</w:t>
      </w:r>
      <w:r>
        <w:t>).</w:t>
      </w:r>
    </w:p>
    <w:p w:rsidR="00756660" w:rsidRDefault="00756660" w:rsidP="00756660">
      <w:pPr>
        <w:pStyle w:val="Akapitzlist"/>
        <w:numPr>
          <w:ilvl w:val="0"/>
          <w:numId w:val="1"/>
        </w:numPr>
        <w:spacing w:after="0"/>
        <w:ind w:left="993"/>
        <w:jc w:val="both"/>
        <w:rPr>
          <w:rFonts w:cstheme="minorHAnsi"/>
        </w:rPr>
      </w:pPr>
      <w:r>
        <w:rPr>
          <w:rFonts w:cstheme="minorHAnsi"/>
        </w:rPr>
        <w:t xml:space="preserve">Projekty budowlane i/lub </w:t>
      </w:r>
      <w:r w:rsidRPr="00C92FFB">
        <w:rPr>
          <w:rFonts w:cstheme="minorHAnsi"/>
        </w:rPr>
        <w:t xml:space="preserve">techniczne </w:t>
      </w:r>
      <w:r>
        <w:rPr>
          <w:rFonts w:cstheme="minorHAnsi"/>
        </w:rPr>
        <w:t xml:space="preserve">mają </w:t>
      </w:r>
      <w:r w:rsidRPr="00C92FFB">
        <w:rPr>
          <w:rFonts w:cstheme="minorHAnsi"/>
        </w:rPr>
        <w:t>wspomaga</w:t>
      </w:r>
      <w:r>
        <w:rPr>
          <w:rFonts w:cstheme="minorHAnsi"/>
        </w:rPr>
        <w:t>ć</w:t>
      </w:r>
      <w:r w:rsidRPr="00C92FFB">
        <w:rPr>
          <w:rFonts w:cstheme="minorHAnsi"/>
        </w:rPr>
        <w:t xml:space="preserve"> obieg zamknięty, a w szczególności </w:t>
      </w:r>
      <w:r>
        <w:rPr>
          <w:rFonts w:cstheme="minorHAnsi"/>
        </w:rPr>
        <w:t xml:space="preserve">wskazywać </w:t>
      </w:r>
      <w:r w:rsidRPr="00C92FFB">
        <w:rPr>
          <w:rFonts w:cstheme="minorHAnsi"/>
        </w:rPr>
        <w:t xml:space="preserve">– z uwzględnieniem odniesienia do normy ISO 20887 lub innych norm w zakresie oceny możliwości demontażu lub dostosowania budynków – w jaki sposób zapewniono wyższy poziom </w:t>
      </w:r>
      <w:proofErr w:type="spellStart"/>
      <w:r w:rsidRPr="00C92FFB">
        <w:rPr>
          <w:rFonts w:cstheme="minorHAnsi"/>
        </w:rPr>
        <w:t>zasobooszczędności</w:t>
      </w:r>
      <w:proofErr w:type="spellEnd"/>
      <w:r w:rsidRPr="00C92FFB">
        <w:rPr>
          <w:rFonts w:cstheme="minorHAnsi"/>
        </w:rPr>
        <w:t>, możliwości dostosowania, elastyczności i możliwości demontażu w celu umożliwienia ponownego użycia i recyklingu.</w:t>
      </w:r>
    </w:p>
    <w:p w:rsidR="00756660" w:rsidRDefault="00756660" w:rsidP="00756660">
      <w:pPr>
        <w:pStyle w:val="Akapitzlist"/>
        <w:numPr>
          <w:ilvl w:val="0"/>
          <w:numId w:val="1"/>
        </w:numPr>
        <w:spacing w:after="0"/>
        <w:ind w:left="993"/>
        <w:jc w:val="both"/>
        <w:rPr>
          <w:rFonts w:cstheme="minorHAnsi"/>
        </w:rPr>
      </w:pPr>
      <w:r w:rsidRPr="00C92FFB">
        <w:rPr>
          <w:rFonts w:cstheme="minorHAnsi"/>
        </w:rPr>
        <w:t>Co najmniej 70% (wagowo) innych niż niebezpieczne odpadów z budowy i rozbiórki (wyłączając naturalnie występujące materiały, o których mowa w kategorii 17 05 04 w europejskim wykazie odpadów ustanowionym w decyzji 2000/532/WE) wytwarzanych na placu budowy ma być skierowane do ponownego użycia, recyklingu i innych procesów odzysku materiału (takich jak wypełnianie wyrobisk z wykorzystaniem odpadów zastępujących inne materiały), zgodnie z hierarchią postępowania z odpadami i Protokołem UE dotyczącym gospodarowania odpadami z budowy i rozbiórki (</w:t>
      </w:r>
      <w:r w:rsidRPr="005342FD">
        <w:rPr>
          <w:rFonts w:cstheme="minorHAnsi"/>
        </w:rPr>
        <w:t>https://ec.europa.eu/growth/content/eu-construction-and-demolition-waste-protocol-0_en</w:t>
      </w:r>
      <w:r w:rsidRPr="00C92FFB">
        <w:rPr>
          <w:rFonts w:cstheme="minorHAnsi"/>
        </w:rPr>
        <w:t>).</w:t>
      </w:r>
    </w:p>
    <w:p w:rsidR="00756660" w:rsidRDefault="00756660" w:rsidP="00756660">
      <w:pPr>
        <w:pStyle w:val="Akapitzlist"/>
        <w:numPr>
          <w:ilvl w:val="0"/>
          <w:numId w:val="1"/>
        </w:numPr>
        <w:spacing w:after="0"/>
        <w:ind w:left="993"/>
        <w:jc w:val="both"/>
        <w:rPr>
          <w:rFonts w:cstheme="minorHAnsi"/>
        </w:rPr>
      </w:pPr>
      <w:r w:rsidRPr="00C92FFB">
        <w:rPr>
          <w:rFonts w:cstheme="minorHAnsi"/>
        </w:rPr>
        <w:t>Należy ograniczyć wytwarzanie odpadów w procesach związanych z budową i rozbiórką, zgodnie z Protokołem UE dotyczącym gospodarowania odpadami z budowy i rozbiórki (https://ec.europa.eu/growth/content/eu-construction-and-demolition-waste-protocol-0_en) oraz uwzględniając najlepsze dostępne techniki i stosując selektywną rozbiórkę w celu umożliwienia usunięcia substancji niebezpiecznych i bezpiecznego postępowania z nimi oraz ułatwienia ponownego użycia i wysokiej jakości recyklingu w drodze selektywnego usuwania materiałów z wykorzystaniem dostępnych systemów sortowania odpadów z budowy i rozbiórki.</w:t>
      </w:r>
    </w:p>
    <w:p w:rsidR="00756660" w:rsidRDefault="00756660" w:rsidP="00756660">
      <w:pPr>
        <w:pStyle w:val="Akapitzlist"/>
        <w:numPr>
          <w:ilvl w:val="0"/>
          <w:numId w:val="1"/>
        </w:numPr>
        <w:spacing w:after="0"/>
        <w:ind w:left="993"/>
        <w:jc w:val="both"/>
        <w:rPr>
          <w:rFonts w:cstheme="minorHAnsi"/>
        </w:rPr>
      </w:pPr>
      <w:r w:rsidRPr="00C92FFB">
        <w:rPr>
          <w:rFonts w:cstheme="minorHAnsi"/>
        </w:rPr>
        <w:t>Elementy budynków i materiały budowlane wykorzystywane do przeprowadzenia robót budowlanych muszą emitować mniej niż 0,06 mg formaldehydu na m</w:t>
      </w:r>
      <w:r w:rsidRPr="00C92FFB">
        <w:rPr>
          <w:rFonts w:cstheme="minorHAnsi"/>
          <w:vertAlign w:val="superscript"/>
        </w:rPr>
        <w:t>3</w:t>
      </w:r>
      <w:r w:rsidRPr="00C92FFB">
        <w:rPr>
          <w:rFonts w:cstheme="minorHAnsi"/>
        </w:rPr>
        <w:t xml:space="preserve"> komory badawczej, co powinno zostać potwierdzone na podstawie badania zgodnie z warunkami określonymi w załączniku XVII do rozporządzenia (WE) nr 1907/2006. Powyższe dotyczy farb i lakierów, paneli sufitu, pokryć podłogowych (w tym powiązanych spoiw i szczeliw), izolacji wewnętrznej i zewnętrznej obróbki powierzchni (w tym obróbki zapobiegającej wilgoci i pleśni).</w:t>
      </w:r>
    </w:p>
    <w:p w:rsidR="00756660" w:rsidRDefault="00756660" w:rsidP="00756660">
      <w:pPr>
        <w:pStyle w:val="Akapitzlist"/>
        <w:numPr>
          <w:ilvl w:val="0"/>
          <w:numId w:val="1"/>
        </w:numPr>
        <w:spacing w:after="0"/>
        <w:ind w:left="993"/>
        <w:jc w:val="both"/>
        <w:rPr>
          <w:rFonts w:cstheme="minorHAnsi"/>
        </w:rPr>
      </w:pPr>
      <w:r w:rsidRPr="00C92FFB">
        <w:rPr>
          <w:rFonts w:cstheme="minorHAnsi"/>
        </w:rPr>
        <w:lastRenderedPageBreak/>
        <w:t>Elementy budynków i materiały budowlane wykorzystywane do przeprowadzenia robót budowlanych muszą emitować mniej niż 0,001 mg innych niż formaldehyd rakotwórczych lotnych związków organicznych kategorii 1A i 1B na m</w:t>
      </w:r>
      <w:r w:rsidRPr="00C92FFB">
        <w:rPr>
          <w:rFonts w:cstheme="minorHAnsi"/>
          <w:vertAlign w:val="superscript"/>
        </w:rPr>
        <w:t>3</w:t>
      </w:r>
      <w:r w:rsidRPr="00C92FFB">
        <w:rPr>
          <w:rFonts w:cstheme="minorHAnsi"/>
        </w:rPr>
        <w:t xml:space="preserve"> komory badawczej, co powinno zostać potwierdzone w ramach badań przeprowadzonych zgodnie z normą CEN/EN 16516 lub ISO 16000-3:2011 lub innymi równoważnymi znormalizowanymi warunkami badania i metodami oznaczania (próg emisji rakotwórczych lotnych związków organicznych dotyczy 28-dniowego okresu badania). Powyższe dotyczy farb i lakierów, paneli sufitu, pokryć podłogowych (w tym powiązanych spoiw i szczeliw), izolacji wewnętrznej i zewnętrznej obróbki powierzchni (w tym obróbki zapobiegającej wilgoci i pleśni).</w:t>
      </w:r>
    </w:p>
    <w:p w:rsidR="00756660" w:rsidRPr="00691AF3" w:rsidRDefault="00756660" w:rsidP="00756660">
      <w:pPr>
        <w:pStyle w:val="Akapitzlist"/>
        <w:numPr>
          <w:ilvl w:val="0"/>
          <w:numId w:val="1"/>
        </w:numPr>
        <w:spacing w:after="0"/>
        <w:ind w:left="993"/>
        <w:jc w:val="both"/>
        <w:rPr>
          <w:rFonts w:cstheme="minorHAnsi"/>
        </w:rPr>
      </w:pPr>
      <w:r w:rsidRPr="00C92FFB">
        <w:t>Do realizacji robót nie należy stosować:</w:t>
      </w:r>
    </w:p>
    <w:p w:rsidR="00756660" w:rsidRPr="00C92FFB" w:rsidRDefault="00756660" w:rsidP="00756660">
      <w:pPr>
        <w:pStyle w:val="Akapitzlist"/>
        <w:numPr>
          <w:ilvl w:val="0"/>
          <w:numId w:val="2"/>
        </w:numPr>
        <w:spacing w:after="0"/>
        <w:ind w:left="1418"/>
        <w:jc w:val="both"/>
      </w:pPr>
      <w:r w:rsidRPr="00C92FFB">
        <w:t xml:space="preserve">substancji, w postaci samoistnej, w mieszaninach lub w wyrobach, wymienionych w załącznikach I lub II do rozporządzenia (UE) 2019/1021, z wyjątkiem substancji obecnych jako niezamierzone śladowe zanieczyszczenia; </w:t>
      </w:r>
    </w:p>
    <w:p w:rsidR="00756660" w:rsidRPr="00C92FFB" w:rsidRDefault="00756660" w:rsidP="00756660">
      <w:pPr>
        <w:pStyle w:val="Akapitzlist"/>
        <w:numPr>
          <w:ilvl w:val="0"/>
          <w:numId w:val="2"/>
        </w:numPr>
        <w:spacing w:after="0"/>
        <w:ind w:left="1418"/>
        <w:jc w:val="both"/>
      </w:pPr>
      <w:r w:rsidRPr="00C92FFB">
        <w:t xml:space="preserve">rtęci i związków rtęci, ich mieszanin i produktów z dodatkiem rtęci zgodnie z definicją określoną w art. 2 rozporządzenia (UE) 2017/852; </w:t>
      </w:r>
    </w:p>
    <w:p w:rsidR="00756660" w:rsidRPr="00C92FFB" w:rsidRDefault="00756660" w:rsidP="00756660">
      <w:pPr>
        <w:pStyle w:val="Akapitzlist"/>
        <w:numPr>
          <w:ilvl w:val="0"/>
          <w:numId w:val="2"/>
        </w:numPr>
        <w:spacing w:after="0"/>
        <w:ind w:left="1418"/>
        <w:jc w:val="both"/>
      </w:pPr>
      <w:r w:rsidRPr="00C92FFB">
        <w:t xml:space="preserve">substancji, w postaci samoistnej, w mieszaninach lub w wyrobach, wymienionych w załącznikach I lub II do rozporządzenia (WE) 1005/2009; </w:t>
      </w:r>
    </w:p>
    <w:p w:rsidR="00756660" w:rsidRPr="00C92FFB" w:rsidRDefault="00756660" w:rsidP="00756660">
      <w:pPr>
        <w:pStyle w:val="Akapitzlist"/>
        <w:numPr>
          <w:ilvl w:val="0"/>
          <w:numId w:val="2"/>
        </w:numPr>
        <w:spacing w:after="0"/>
        <w:ind w:left="1418"/>
        <w:jc w:val="both"/>
      </w:pPr>
      <w:r w:rsidRPr="00C92FFB">
        <w:t xml:space="preserve">substancji, w postaci samoistnej, w mieszaninach lub w wyrobach, wymienionych w załączniku II do dyrektywy 2011/65/UE, z wyjątkiem substancji, w których zapewniono pełne przestrzeganie art. 4 ust. 1 tej dyrektywy; </w:t>
      </w:r>
    </w:p>
    <w:p w:rsidR="00756660" w:rsidRPr="00C92FFB" w:rsidRDefault="00756660" w:rsidP="00756660">
      <w:pPr>
        <w:pStyle w:val="Akapitzlist"/>
        <w:numPr>
          <w:ilvl w:val="0"/>
          <w:numId w:val="2"/>
        </w:numPr>
        <w:spacing w:after="0"/>
        <w:ind w:left="1418"/>
        <w:jc w:val="both"/>
      </w:pPr>
      <w:r w:rsidRPr="00C92FFB">
        <w:t>substancji, w postaci samoistnej, w mieszaninach lub w wyrobach, wymienionych w załączniku XVII do rozporządzenia (WE) nr 1907/2006, z wyjątkiem przypadków, gdy w pełni spełnione są warunki określone w tym załączniku;</w:t>
      </w:r>
    </w:p>
    <w:p w:rsidR="00756660" w:rsidRPr="00C92FFB" w:rsidRDefault="00756660" w:rsidP="00756660">
      <w:pPr>
        <w:pStyle w:val="Akapitzlist"/>
        <w:numPr>
          <w:ilvl w:val="0"/>
          <w:numId w:val="2"/>
        </w:numPr>
        <w:spacing w:after="0"/>
        <w:ind w:left="1418"/>
        <w:jc w:val="both"/>
      </w:pPr>
      <w:r w:rsidRPr="00C92FFB">
        <w:t>substancji, w postaci samoistnej, w mieszaninach lub w wyrobach, w stężeniu przekraczającym 0,1 % (m/m), spełniających kryteria określone w art. 57 rozporządzenia (WE) nr 1907/2006 i zidentyfikowanych zgodnie z art. 59 ust. 1 tego rozporządzenia, na okres co najmniej osiemnastu miesięcy, z wyjątkiem przypadków, w których operator oceni i udokumentuje, że na rynku nie są dostępne żadne inne odpowiednie substancje lub technologie alternatywne oraz że są one stosowane w warunkach kontrolowanych;</w:t>
      </w:r>
    </w:p>
    <w:p w:rsidR="00756660" w:rsidRPr="00C92FFB" w:rsidRDefault="00756660" w:rsidP="00756660">
      <w:pPr>
        <w:pStyle w:val="Akapitzlist"/>
        <w:numPr>
          <w:ilvl w:val="0"/>
          <w:numId w:val="2"/>
        </w:numPr>
        <w:spacing w:after="0"/>
        <w:ind w:left="1418"/>
        <w:jc w:val="both"/>
      </w:pPr>
      <w:r w:rsidRPr="00C92FFB">
        <w:t>innych substancji, w postaci samoistnej, w mieszaninach lub w wyrobach, które spełniają kryteria określone w art. 57 rozporządzenia (WE) nr 1907/2006, z wyjątkiem przypadków, gdy udowodniono, że ich stosowanie jest niezbędne dla społeczeństwa.</w:t>
      </w:r>
    </w:p>
    <w:p w:rsidR="00756660" w:rsidRPr="00C92FFB" w:rsidRDefault="00756660" w:rsidP="00756660">
      <w:pPr>
        <w:pStyle w:val="Akapitzlist"/>
        <w:spacing w:after="0"/>
        <w:ind w:left="993"/>
        <w:jc w:val="both"/>
      </w:pPr>
      <w:r w:rsidRPr="00C92FFB">
        <w:t xml:space="preserve">Do realizacji robót nie należy również stosować innych substancji, w postaci samoistnej, w mieszaninach lub w wyrobach, w stężeniu przekraczającym 0,1 % (m/m), spełniających kryteria określone w rozporządzeniu (WE) nr 1272/2008 w odniesieniu do jednej z klas zagrożenia lub kategorii zagrożenia, o których mowa w art. 57 rozporządzenia (WE) nr 1907/2006, z wyjątkiem przypadków, w których </w:t>
      </w:r>
      <w:r>
        <w:t>W</w:t>
      </w:r>
      <w:r w:rsidRPr="00C92FFB">
        <w:t>ykonawca oceni i udokumentuje, że na rynku nie są dostępne żadne inne odpowiednie substancje lub technologie alternatywne oraz że są one stosowane w warunkach kontrolowanych.</w:t>
      </w:r>
    </w:p>
    <w:p w:rsidR="00756660" w:rsidRDefault="00756660" w:rsidP="00756660">
      <w:pPr>
        <w:pStyle w:val="Akapitzlist"/>
        <w:numPr>
          <w:ilvl w:val="0"/>
          <w:numId w:val="1"/>
        </w:numPr>
        <w:spacing w:after="0"/>
        <w:ind w:left="993"/>
        <w:jc w:val="both"/>
        <w:rPr>
          <w:rFonts w:cstheme="minorHAnsi"/>
        </w:rPr>
      </w:pPr>
      <w:r w:rsidRPr="00691AF3">
        <w:rPr>
          <w:rFonts w:cstheme="minorHAnsi"/>
        </w:rPr>
        <w:t>W przypadku prac innych niż w lokalach mieszkalnych oraz o ile zakres przewidzianych prac obejmuje instalację poniższych urządzeń, należy potwierdzić (kartą charakterystyki produktu, certyfikatem budynku lub obowiązującym w UE oznakowaniem produktu), że:</w:t>
      </w:r>
    </w:p>
    <w:p w:rsidR="00756660" w:rsidRPr="00C92FFB" w:rsidRDefault="00756660" w:rsidP="00756660">
      <w:pPr>
        <w:pStyle w:val="Akapitzlist"/>
        <w:numPr>
          <w:ilvl w:val="0"/>
          <w:numId w:val="3"/>
        </w:numPr>
        <w:tabs>
          <w:tab w:val="left" w:pos="1418"/>
        </w:tabs>
        <w:spacing w:after="0"/>
        <w:ind w:left="1418"/>
        <w:jc w:val="both"/>
        <w:rPr>
          <w:rFonts w:cstheme="minorHAnsi"/>
        </w:rPr>
      </w:pPr>
      <w:r w:rsidRPr="00C92FFB">
        <w:rPr>
          <w:rFonts w:cstheme="minorHAnsi"/>
        </w:rPr>
        <w:t>maksymalny przepływ wody w kranach umywalek i kranach zlewów wynosi 6 litrów/min.;</w:t>
      </w:r>
    </w:p>
    <w:p w:rsidR="00756660" w:rsidRPr="00C92FFB" w:rsidRDefault="00756660" w:rsidP="00756660">
      <w:pPr>
        <w:pStyle w:val="Akapitzlist"/>
        <w:numPr>
          <w:ilvl w:val="0"/>
          <w:numId w:val="3"/>
        </w:numPr>
        <w:spacing w:after="0"/>
        <w:ind w:left="1418"/>
        <w:jc w:val="both"/>
        <w:rPr>
          <w:rFonts w:cstheme="minorHAnsi"/>
        </w:rPr>
      </w:pPr>
      <w:r w:rsidRPr="00C92FFB">
        <w:rPr>
          <w:rFonts w:cstheme="minorHAnsi"/>
        </w:rPr>
        <w:t>maksymalny przepływ wody w prysznicach wynosi 8 litrów/min.;</w:t>
      </w:r>
    </w:p>
    <w:p w:rsidR="00756660" w:rsidRPr="00C92FFB" w:rsidRDefault="00756660" w:rsidP="00756660">
      <w:pPr>
        <w:pStyle w:val="Akapitzlist"/>
        <w:numPr>
          <w:ilvl w:val="0"/>
          <w:numId w:val="3"/>
        </w:numPr>
        <w:spacing w:after="0"/>
        <w:ind w:left="1418"/>
        <w:jc w:val="both"/>
        <w:rPr>
          <w:rFonts w:cstheme="minorHAnsi"/>
        </w:rPr>
      </w:pPr>
      <w:r w:rsidRPr="00C92FFB">
        <w:rPr>
          <w:rFonts w:cstheme="minorHAnsi"/>
        </w:rPr>
        <w:lastRenderedPageBreak/>
        <w:t xml:space="preserve">w toaletach, w tym kompaktach, muszlach i spłuczkach całkowita objętość wody wykorzystywanej do spłukiwania nie może przekraczać 6 litrów, a średnia objętość wody wykorzystywanej do spłukiwania nie może przekraczać 3,5 litra; </w:t>
      </w:r>
    </w:p>
    <w:p w:rsidR="00756660" w:rsidRPr="00C92FFB" w:rsidRDefault="00756660" w:rsidP="00756660">
      <w:pPr>
        <w:pStyle w:val="Akapitzlist"/>
        <w:numPr>
          <w:ilvl w:val="0"/>
          <w:numId w:val="3"/>
        </w:numPr>
        <w:spacing w:after="0"/>
        <w:ind w:left="1418"/>
        <w:jc w:val="both"/>
        <w:rPr>
          <w:rFonts w:cstheme="minorHAnsi"/>
        </w:rPr>
      </w:pPr>
      <w:r w:rsidRPr="00C92FFB">
        <w:rPr>
          <w:rFonts w:cstheme="minorHAnsi"/>
        </w:rPr>
        <w:t>zużycie wody w pisuarach wynosi maksymalnie 2 litry na muszlę na godzinę. W pisuarach ze spłukiwaniem całkowita objętość wody wykorzystywanej do spłukiwania nie może przekraczać 1 litra.</w:t>
      </w:r>
    </w:p>
    <w:p w:rsidR="00756660" w:rsidRPr="00C92FFB" w:rsidRDefault="00756660" w:rsidP="00756660">
      <w:pPr>
        <w:pStyle w:val="Akapitzlist"/>
        <w:spacing w:after="0"/>
        <w:ind w:left="993"/>
        <w:jc w:val="both"/>
        <w:rPr>
          <w:rFonts w:cstheme="minorHAnsi"/>
        </w:rPr>
      </w:pPr>
      <w:r w:rsidRPr="00C92FFB">
        <w:rPr>
          <w:rFonts w:cstheme="minorHAnsi"/>
        </w:rPr>
        <w:t>Przy tym:</w:t>
      </w:r>
    </w:p>
    <w:p w:rsidR="00756660" w:rsidRPr="00C92FFB" w:rsidRDefault="00756660" w:rsidP="00756660">
      <w:pPr>
        <w:pStyle w:val="CM4"/>
        <w:numPr>
          <w:ilvl w:val="0"/>
          <w:numId w:val="4"/>
        </w:numPr>
        <w:spacing w:line="259" w:lineRule="auto"/>
        <w:ind w:left="1418"/>
        <w:jc w:val="both"/>
        <w:rPr>
          <w:rFonts w:asciiTheme="minorHAnsi" w:hAnsiTheme="minorHAnsi" w:cstheme="minorHAnsi"/>
          <w:sz w:val="22"/>
          <w:szCs w:val="22"/>
        </w:rPr>
      </w:pPr>
      <w:r w:rsidRPr="00C92FFB">
        <w:rPr>
          <w:rFonts w:asciiTheme="minorHAnsi" w:hAnsiTheme="minorHAnsi" w:cstheme="minorHAnsi"/>
          <w:sz w:val="22"/>
          <w:szCs w:val="22"/>
        </w:rPr>
        <w:t xml:space="preserve">Natężenie przepływu rejestruje się przy standardowym ciśnieniu odniesienia 3 – 0/+ 0,2 </w:t>
      </w:r>
      <w:proofErr w:type="spellStart"/>
      <w:r w:rsidRPr="00C92FFB">
        <w:rPr>
          <w:rFonts w:asciiTheme="minorHAnsi" w:hAnsiTheme="minorHAnsi" w:cstheme="minorHAnsi"/>
          <w:sz w:val="22"/>
          <w:szCs w:val="22"/>
        </w:rPr>
        <w:t>bara</w:t>
      </w:r>
      <w:proofErr w:type="spellEnd"/>
      <w:r w:rsidRPr="00C92FFB">
        <w:rPr>
          <w:rFonts w:asciiTheme="minorHAnsi" w:hAnsiTheme="minorHAnsi" w:cstheme="minorHAnsi"/>
          <w:sz w:val="22"/>
          <w:szCs w:val="22"/>
        </w:rPr>
        <w:t xml:space="preserve"> lub 0,1 – 0/+ 0,02 </w:t>
      </w:r>
      <w:proofErr w:type="spellStart"/>
      <w:r w:rsidRPr="00C92FFB">
        <w:rPr>
          <w:rFonts w:asciiTheme="minorHAnsi" w:hAnsiTheme="minorHAnsi" w:cstheme="minorHAnsi"/>
          <w:sz w:val="22"/>
          <w:szCs w:val="22"/>
        </w:rPr>
        <w:t>bara</w:t>
      </w:r>
      <w:proofErr w:type="spellEnd"/>
      <w:r w:rsidRPr="00C92FFB">
        <w:rPr>
          <w:rFonts w:asciiTheme="minorHAnsi" w:hAnsiTheme="minorHAnsi" w:cstheme="minorHAnsi"/>
          <w:sz w:val="22"/>
          <w:szCs w:val="22"/>
        </w:rPr>
        <w:t xml:space="preserve"> dla produktów ograniczonych do niskiego ciśnienia. </w:t>
      </w:r>
    </w:p>
    <w:p w:rsidR="00756660" w:rsidRPr="00C92FFB" w:rsidRDefault="00756660" w:rsidP="00756660">
      <w:pPr>
        <w:pStyle w:val="CM4"/>
        <w:numPr>
          <w:ilvl w:val="0"/>
          <w:numId w:val="4"/>
        </w:numPr>
        <w:spacing w:line="259" w:lineRule="auto"/>
        <w:ind w:left="1418"/>
        <w:jc w:val="both"/>
        <w:rPr>
          <w:rFonts w:asciiTheme="minorHAnsi" w:hAnsiTheme="minorHAnsi" w:cstheme="minorHAnsi"/>
          <w:sz w:val="22"/>
          <w:szCs w:val="22"/>
        </w:rPr>
      </w:pPr>
      <w:r w:rsidRPr="00C92FFB">
        <w:rPr>
          <w:rFonts w:asciiTheme="minorHAnsi" w:hAnsiTheme="minorHAnsi" w:cstheme="minorHAnsi"/>
          <w:sz w:val="22"/>
          <w:szCs w:val="22"/>
        </w:rPr>
        <w:t xml:space="preserve">Natężenie przepływu pod niższym ciśnieniem 1,5 – 0/+ 0,2 </w:t>
      </w:r>
      <w:proofErr w:type="spellStart"/>
      <w:r w:rsidRPr="00C92FFB">
        <w:rPr>
          <w:rFonts w:asciiTheme="minorHAnsi" w:hAnsiTheme="minorHAnsi" w:cstheme="minorHAnsi"/>
          <w:sz w:val="22"/>
          <w:szCs w:val="22"/>
        </w:rPr>
        <w:t>bara</w:t>
      </w:r>
      <w:proofErr w:type="spellEnd"/>
      <w:r w:rsidRPr="00C92FFB">
        <w:rPr>
          <w:rFonts w:asciiTheme="minorHAnsi" w:hAnsiTheme="minorHAnsi" w:cstheme="minorHAnsi"/>
          <w:sz w:val="22"/>
          <w:szCs w:val="22"/>
        </w:rPr>
        <w:t xml:space="preserve"> wynosi ≥ 60 % maksymalnego dostępnego natężenia przepływu. </w:t>
      </w:r>
    </w:p>
    <w:p w:rsidR="00756660" w:rsidRPr="00C92FFB" w:rsidRDefault="00756660" w:rsidP="00756660">
      <w:pPr>
        <w:pStyle w:val="CM4"/>
        <w:numPr>
          <w:ilvl w:val="0"/>
          <w:numId w:val="4"/>
        </w:numPr>
        <w:spacing w:line="259" w:lineRule="auto"/>
        <w:ind w:left="1418"/>
        <w:jc w:val="both"/>
        <w:rPr>
          <w:rFonts w:asciiTheme="minorHAnsi" w:hAnsiTheme="minorHAnsi" w:cstheme="minorHAnsi"/>
          <w:sz w:val="22"/>
          <w:szCs w:val="22"/>
        </w:rPr>
      </w:pPr>
      <w:r w:rsidRPr="00C92FFB">
        <w:rPr>
          <w:rFonts w:asciiTheme="minorHAnsi" w:hAnsiTheme="minorHAnsi" w:cstheme="minorHAnsi"/>
          <w:sz w:val="22"/>
          <w:szCs w:val="22"/>
        </w:rPr>
        <w:t xml:space="preserve">W przypadku baterii prysznicowych temperatura odniesienia wynosi 38 ± 1 °C. </w:t>
      </w:r>
    </w:p>
    <w:p w:rsidR="00756660" w:rsidRPr="00691AF3" w:rsidRDefault="00756660" w:rsidP="00756660">
      <w:pPr>
        <w:pStyle w:val="CM4"/>
        <w:numPr>
          <w:ilvl w:val="0"/>
          <w:numId w:val="4"/>
        </w:numPr>
        <w:spacing w:line="259" w:lineRule="auto"/>
        <w:ind w:left="1418"/>
        <w:jc w:val="both"/>
        <w:rPr>
          <w:rFonts w:asciiTheme="minorHAnsi" w:hAnsiTheme="minorHAnsi" w:cstheme="minorHAnsi"/>
          <w:sz w:val="22"/>
          <w:szCs w:val="22"/>
        </w:rPr>
      </w:pPr>
      <w:r w:rsidRPr="00691AF3">
        <w:rPr>
          <w:rFonts w:asciiTheme="minorHAnsi" w:hAnsiTheme="minorHAnsi" w:cstheme="minorHAnsi"/>
          <w:sz w:val="22"/>
          <w:szCs w:val="22"/>
        </w:rPr>
        <w:t xml:space="preserve">Jeżeli przepływ musi wynosić poniżej 6 l/min, jest on zgodny z zasadą określoną w pkt ii) powyżej. </w:t>
      </w:r>
    </w:p>
    <w:p w:rsidR="00756660" w:rsidRPr="00C92FFB" w:rsidRDefault="00756660" w:rsidP="00756660">
      <w:pPr>
        <w:pStyle w:val="CM4"/>
        <w:numPr>
          <w:ilvl w:val="0"/>
          <w:numId w:val="4"/>
        </w:numPr>
        <w:spacing w:line="259" w:lineRule="auto"/>
        <w:ind w:left="1418"/>
        <w:jc w:val="both"/>
        <w:rPr>
          <w:rFonts w:asciiTheme="minorHAnsi" w:hAnsiTheme="minorHAnsi" w:cstheme="minorHAnsi"/>
          <w:sz w:val="22"/>
          <w:szCs w:val="22"/>
        </w:rPr>
      </w:pPr>
      <w:r w:rsidRPr="00C92FFB">
        <w:rPr>
          <w:rFonts w:asciiTheme="minorHAnsi" w:hAnsiTheme="minorHAnsi" w:cstheme="minorHAnsi"/>
          <w:sz w:val="22"/>
          <w:szCs w:val="22"/>
        </w:rPr>
        <w:t xml:space="preserve">W przypadku kranów przestrzega się procedury opisanej w pkt 10.2.3 normy EN 200, z następującymi wyjątkami: </w:t>
      </w:r>
    </w:p>
    <w:p w:rsidR="00756660" w:rsidRDefault="00756660" w:rsidP="00756660">
      <w:pPr>
        <w:pStyle w:val="CM4"/>
        <w:tabs>
          <w:tab w:val="left" w:pos="1843"/>
        </w:tabs>
        <w:spacing w:line="259" w:lineRule="auto"/>
        <w:ind w:left="1843" w:hanging="425"/>
        <w:jc w:val="both"/>
        <w:rPr>
          <w:rFonts w:asciiTheme="minorHAnsi" w:hAnsiTheme="minorHAnsi" w:cstheme="minorHAnsi"/>
          <w:sz w:val="22"/>
          <w:szCs w:val="22"/>
        </w:rPr>
      </w:pPr>
      <w:proofErr w:type="spellStart"/>
      <w:r>
        <w:rPr>
          <w:rFonts w:asciiTheme="minorHAnsi" w:hAnsiTheme="minorHAnsi" w:cstheme="minorHAnsi"/>
          <w:sz w:val="22"/>
          <w:szCs w:val="22"/>
        </w:rPr>
        <w:t>v.i</w:t>
      </w:r>
      <w:proofErr w:type="spellEnd"/>
      <w:r>
        <w:rPr>
          <w:rFonts w:asciiTheme="minorHAnsi" w:hAnsiTheme="minorHAnsi" w:cstheme="minorHAnsi"/>
          <w:sz w:val="22"/>
          <w:szCs w:val="22"/>
        </w:rPr>
        <w:t xml:space="preserve">) </w:t>
      </w:r>
      <w:r>
        <w:rPr>
          <w:rFonts w:asciiTheme="minorHAnsi" w:hAnsiTheme="minorHAnsi" w:cstheme="minorHAnsi"/>
          <w:sz w:val="22"/>
          <w:szCs w:val="22"/>
        </w:rPr>
        <w:tab/>
      </w:r>
      <w:r w:rsidRPr="00C92FFB">
        <w:rPr>
          <w:rFonts w:asciiTheme="minorHAnsi" w:hAnsiTheme="minorHAnsi" w:cstheme="minorHAnsi"/>
          <w:sz w:val="22"/>
          <w:szCs w:val="22"/>
        </w:rPr>
        <w:t xml:space="preserve">w przypadku kranów, które nie są ograniczone do zastosowań przy niskim ciśnieniu: należy stosować ciśnienie 3 – 0/+ 0,2 </w:t>
      </w:r>
      <w:proofErr w:type="spellStart"/>
      <w:r w:rsidRPr="00C92FFB">
        <w:rPr>
          <w:rFonts w:asciiTheme="minorHAnsi" w:hAnsiTheme="minorHAnsi" w:cstheme="minorHAnsi"/>
          <w:sz w:val="22"/>
          <w:szCs w:val="22"/>
        </w:rPr>
        <w:t>bara</w:t>
      </w:r>
      <w:proofErr w:type="spellEnd"/>
      <w:r w:rsidRPr="00C92FFB">
        <w:rPr>
          <w:rFonts w:asciiTheme="minorHAnsi" w:hAnsiTheme="minorHAnsi" w:cstheme="minorHAnsi"/>
          <w:sz w:val="22"/>
          <w:szCs w:val="22"/>
        </w:rPr>
        <w:t xml:space="preserve"> zarówno do wylotu wody ciepłej, jak i wylotu wody zimnej, na zmianę; </w:t>
      </w:r>
    </w:p>
    <w:p w:rsidR="00756660" w:rsidRPr="00C92FFB" w:rsidRDefault="00756660" w:rsidP="00756660">
      <w:pPr>
        <w:pStyle w:val="CM4"/>
        <w:tabs>
          <w:tab w:val="left" w:pos="1843"/>
        </w:tabs>
        <w:spacing w:line="259" w:lineRule="auto"/>
        <w:ind w:left="1843" w:hanging="425"/>
        <w:jc w:val="both"/>
        <w:rPr>
          <w:rFonts w:asciiTheme="minorHAnsi" w:hAnsiTheme="minorHAnsi" w:cstheme="minorHAnsi"/>
          <w:sz w:val="22"/>
          <w:szCs w:val="22"/>
        </w:rPr>
      </w:pPr>
      <w:proofErr w:type="spellStart"/>
      <w:r>
        <w:rPr>
          <w:rFonts w:asciiTheme="minorHAnsi" w:hAnsiTheme="minorHAnsi" w:cstheme="minorHAnsi"/>
          <w:sz w:val="22"/>
          <w:szCs w:val="22"/>
        </w:rPr>
        <w:t>v.ii</w:t>
      </w:r>
      <w:proofErr w:type="spellEnd"/>
      <w:r>
        <w:rPr>
          <w:rFonts w:asciiTheme="minorHAnsi" w:hAnsiTheme="minorHAnsi" w:cstheme="minorHAnsi"/>
          <w:sz w:val="22"/>
          <w:szCs w:val="22"/>
        </w:rPr>
        <w:t>)</w:t>
      </w:r>
      <w:r>
        <w:rPr>
          <w:rFonts w:asciiTheme="minorHAnsi" w:hAnsiTheme="minorHAnsi" w:cstheme="minorHAnsi"/>
          <w:sz w:val="22"/>
          <w:szCs w:val="22"/>
        </w:rPr>
        <w:tab/>
      </w:r>
      <w:r w:rsidRPr="00C92FFB">
        <w:rPr>
          <w:rFonts w:asciiTheme="minorHAnsi" w:hAnsiTheme="minorHAnsi" w:cstheme="minorHAnsi"/>
          <w:sz w:val="22"/>
          <w:szCs w:val="22"/>
        </w:rPr>
        <w:t xml:space="preserve">w przypadku kranów, które są ograniczone do zastosowań przy niskim ciśnieniu: należy stosować ciśnienie 0,4 – 0/+ 0,02 </w:t>
      </w:r>
      <w:proofErr w:type="spellStart"/>
      <w:r w:rsidRPr="00C92FFB">
        <w:rPr>
          <w:rFonts w:asciiTheme="minorHAnsi" w:hAnsiTheme="minorHAnsi" w:cstheme="minorHAnsi"/>
          <w:sz w:val="22"/>
          <w:szCs w:val="22"/>
        </w:rPr>
        <w:t>bara</w:t>
      </w:r>
      <w:proofErr w:type="spellEnd"/>
      <w:r w:rsidRPr="00C92FFB">
        <w:rPr>
          <w:rFonts w:asciiTheme="minorHAnsi" w:hAnsiTheme="minorHAnsi" w:cstheme="minorHAnsi"/>
          <w:sz w:val="22"/>
          <w:szCs w:val="22"/>
        </w:rPr>
        <w:t xml:space="preserve"> zarówno do wylotu wody ciepłej, jak i wylotu wody zimnej przy pełnym otwarciu elementu regulującego przepływ.</w:t>
      </w:r>
    </w:p>
    <w:p w:rsidR="00756660" w:rsidRPr="00691AF3" w:rsidRDefault="00756660" w:rsidP="00756660">
      <w:pPr>
        <w:pStyle w:val="Akapitzlist"/>
        <w:numPr>
          <w:ilvl w:val="0"/>
          <w:numId w:val="1"/>
        </w:numPr>
        <w:spacing w:after="0"/>
        <w:ind w:left="993"/>
        <w:jc w:val="both"/>
        <w:rPr>
          <w:rFonts w:cstheme="minorHAnsi"/>
        </w:rPr>
      </w:pPr>
      <w:r w:rsidRPr="00C92FFB">
        <w:t>W trakcie robót budowlanych oraz konserwacyjnych należy stosować środki służące redukcji emisji hałasu, kurzu i zanieczyszczeń.</w:t>
      </w:r>
    </w:p>
    <w:p w:rsidR="00756660" w:rsidRDefault="00756660" w:rsidP="00756660">
      <w:pPr>
        <w:pStyle w:val="Akapitzlist"/>
        <w:numPr>
          <w:ilvl w:val="0"/>
          <w:numId w:val="1"/>
        </w:numPr>
        <w:spacing w:after="0"/>
        <w:ind w:left="993"/>
        <w:jc w:val="both"/>
        <w:rPr>
          <w:rFonts w:cstheme="minorHAnsi"/>
        </w:rPr>
      </w:pPr>
      <w:r w:rsidRPr="00691C5A">
        <w:rPr>
          <w:rFonts w:cstheme="minorHAnsi"/>
        </w:rPr>
        <w:t xml:space="preserve">Zastosowane panele PV muszą charakteryzować się – w miarę możliwości – wysoką trwałością i zdolnością do recyklingu. </w:t>
      </w:r>
    </w:p>
    <w:p w:rsidR="00756660" w:rsidRDefault="00756660" w:rsidP="00756660">
      <w:pPr>
        <w:pStyle w:val="Akapitzlist"/>
        <w:numPr>
          <w:ilvl w:val="0"/>
          <w:numId w:val="1"/>
        </w:numPr>
        <w:spacing w:after="0"/>
        <w:ind w:left="993"/>
        <w:jc w:val="both"/>
        <w:rPr>
          <w:rFonts w:cstheme="minorHAnsi"/>
        </w:rPr>
      </w:pPr>
      <w:r w:rsidRPr="00691C5A">
        <w:rPr>
          <w:rFonts w:cstheme="minorHAnsi"/>
        </w:rPr>
        <w:t xml:space="preserve">Zastosowane elektryczne pompy ciepła muszą charakteryzować się – w miarę możliwości – wysoką trwałością, zdolnością do recyklingu, możliwością łatwego demontażu i renowacji. </w:t>
      </w:r>
    </w:p>
    <w:p w:rsidR="00756660" w:rsidRDefault="00756660" w:rsidP="00756660">
      <w:pPr>
        <w:pStyle w:val="Akapitzlist"/>
        <w:numPr>
          <w:ilvl w:val="0"/>
          <w:numId w:val="1"/>
        </w:numPr>
        <w:spacing w:after="0"/>
        <w:ind w:left="993"/>
        <w:jc w:val="both"/>
        <w:rPr>
          <w:rFonts w:cstheme="minorHAnsi"/>
        </w:rPr>
      </w:pPr>
      <w:r>
        <w:rPr>
          <w:rFonts w:cstheme="minorHAnsi"/>
        </w:rPr>
        <w:t>O ile zakres inwestycji przewiduje zastosowanie pomp ciepła, w dokumentacji projektowej należy ująć plan gospodarki odpadami (lub informację o jego istnieniu), który zapewni maksymalne ponowne użycie pomp ciepła, ich regenerację lub recykling po zakończeniu eksploatacji.</w:t>
      </w:r>
    </w:p>
    <w:p w:rsidR="00756660" w:rsidRPr="007E7C8C" w:rsidRDefault="00756660" w:rsidP="00756660">
      <w:pPr>
        <w:pStyle w:val="Akapitzlist"/>
        <w:numPr>
          <w:ilvl w:val="0"/>
          <w:numId w:val="1"/>
        </w:numPr>
        <w:spacing w:after="0"/>
        <w:ind w:left="993"/>
        <w:jc w:val="both"/>
        <w:rPr>
          <w:rFonts w:cstheme="minorHAnsi"/>
        </w:rPr>
      </w:pPr>
      <w:r w:rsidRPr="007E7C8C">
        <w:rPr>
          <w:rFonts w:cstheme="minorHAnsi"/>
        </w:rPr>
        <w:t>W przypadku pomp ciepła typu powietrze-powietrze o wydajności znamionowej nie większej niż 12 kW, poziomy mocy akustycznej w pomieszczeniu i na zewnątrz muszą mieścić się poniżej progu określonego w rozporządzeniu Komisji (UE) nr 206/2012.</w:t>
      </w:r>
    </w:p>
    <w:p w:rsidR="00756660" w:rsidRPr="007E7C8C" w:rsidRDefault="00756660" w:rsidP="00756660">
      <w:pPr>
        <w:pStyle w:val="Akapitzlist"/>
        <w:numPr>
          <w:ilvl w:val="0"/>
          <w:numId w:val="6"/>
        </w:numPr>
        <w:spacing w:after="0"/>
        <w:ind w:left="426" w:hanging="426"/>
        <w:jc w:val="both"/>
        <w:rPr>
          <w:rFonts w:cstheme="minorHAnsi"/>
        </w:rPr>
      </w:pPr>
      <w:r w:rsidRPr="007E7C8C">
        <w:rPr>
          <w:rFonts w:cstheme="minorHAnsi"/>
        </w:rPr>
        <w:t xml:space="preserve">Realizacja poszczególnych wymagań przedstawionych </w:t>
      </w:r>
      <w:r>
        <w:rPr>
          <w:rFonts w:cstheme="minorHAnsi"/>
        </w:rPr>
        <w:t xml:space="preserve">w pkt I </w:t>
      </w:r>
      <w:r w:rsidRPr="007E7C8C">
        <w:rPr>
          <w:rFonts w:cstheme="minorHAnsi"/>
        </w:rPr>
        <w:t xml:space="preserve">będzie udokumentowana przez Wykonawcę prac budowlanych. </w:t>
      </w:r>
      <w:r w:rsidRPr="007E7C8C">
        <w:rPr>
          <w:rFonts w:cstheme="minorHAnsi"/>
          <w:color w:val="000000"/>
          <w:kern w:val="0"/>
        </w:rPr>
        <w:t xml:space="preserve">W trakcie realizacji prac budowlanych, ich Wykonawca będzie monitorował i dokumentował ich realizację zgodnie z wymaganiami przedstawionymi </w:t>
      </w:r>
      <w:r>
        <w:rPr>
          <w:rFonts w:cstheme="minorHAnsi"/>
          <w:color w:val="000000"/>
          <w:kern w:val="0"/>
        </w:rPr>
        <w:t>w pkt I</w:t>
      </w:r>
      <w:r w:rsidRPr="007E7C8C">
        <w:rPr>
          <w:rFonts w:cstheme="minorHAnsi"/>
          <w:color w:val="000000"/>
          <w:kern w:val="0"/>
        </w:rPr>
        <w:t>. Do obowiązkowych dokumentów niezbędnych do przedstawienia przez Wykonawcę prac należą:</w:t>
      </w:r>
    </w:p>
    <w:p w:rsidR="00756660" w:rsidRPr="00FA3149" w:rsidRDefault="00756660" w:rsidP="00756660">
      <w:pPr>
        <w:pStyle w:val="Akapitzlist"/>
        <w:numPr>
          <w:ilvl w:val="0"/>
          <w:numId w:val="5"/>
        </w:numPr>
        <w:ind w:left="851"/>
        <w:jc w:val="both"/>
        <w:rPr>
          <w:rFonts w:cstheme="minorHAnsi"/>
          <w:color w:val="000000"/>
          <w:kern w:val="0"/>
        </w:rPr>
      </w:pPr>
      <w:r w:rsidRPr="00FA3149">
        <w:rPr>
          <w:rFonts w:cstheme="minorHAnsi"/>
          <w:color w:val="000000"/>
          <w:kern w:val="0"/>
        </w:rPr>
        <w:t>Karty katalogowe i materiałowe.</w:t>
      </w:r>
    </w:p>
    <w:p w:rsidR="00756660" w:rsidRPr="00FA3149" w:rsidRDefault="00756660" w:rsidP="00756660">
      <w:pPr>
        <w:pStyle w:val="Akapitzlist"/>
        <w:numPr>
          <w:ilvl w:val="0"/>
          <w:numId w:val="5"/>
        </w:numPr>
        <w:ind w:left="851"/>
        <w:jc w:val="both"/>
        <w:rPr>
          <w:rFonts w:cstheme="minorHAnsi"/>
          <w:color w:val="000000"/>
          <w:kern w:val="0"/>
        </w:rPr>
      </w:pPr>
      <w:r w:rsidRPr="00FA3149">
        <w:t>Dokumentacja potwierdzająca fakt, iż Wykonawca jest zarejestrowany w BDO (baza danych o produktach i opakowaniach oraz gospodarowania odpadami) – o ile posiada taki obowiązek.</w:t>
      </w:r>
    </w:p>
    <w:p w:rsidR="00756660" w:rsidRPr="00FA3149" w:rsidRDefault="00756660" w:rsidP="00756660">
      <w:pPr>
        <w:pStyle w:val="Akapitzlist"/>
        <w:numPr>
          <w:ilvl w:val="0"/>
          <w:numId w:val="5"/>
        </w:numPr>
        <w:ind w:left="851"/>
        <w:jc w:val="both"/>
        <w:rPr>
          <w:rFonts w:cstheme="minorHAnsi"/>
          <w:color w:val="000000"/>
          <w:kern w:val="0"/>
        </w:rPr>
      </w:pPr>
      <w:r w:rsidRPr="00FA3149">
        <w:t>Karty przekazania odpadów, karty ewidencji odpadów.</w:t>
      </w:r>
    </w:p>
    <w:p w:rsidR="00756660" w:rsidRPr="00EE482C" w:rsidRDefault="00756660" w:rsidP="00756660">
      <w:pPr>
        <w:pStyle w:val="Akapitzlist"/>
        <w:numPr>
          <w:ilvl w:val="0"/>
          <w:numId w:val="5"/>
        </w:numPr>
        <w:ind w:left="851"/>
        <w:jc w:val="both"/>
        <w:rPr>
          <w:rFonts w:cstheme="minorHAnsi"/>
          <w:color w:val="000000"/>
          <w:kern w:val="0"/>
        </w:rPr>
      </w:pPr>
      <w:r w:rsidRPr="00FA3149">
        <w:t>Powykonawcze świadectwo charakterystyki energetycznej budynku</w:t>
      </w:r>
      <w:r>
        <w:t xml:space="preserve"> - o ile w wyniku realizacji inwestycji zmianie uległa charakterystyka energetyczna budynku lub części budynku (tj. </w:t>
      </w:r>
      <w:r w:rsidRPr="009560E6">
        <w:t>stosownie do przepisów art. 14 ust. 2 ustawy z dnia 29 sierpnia 2014 r. o charakterystyce energetycznej budynków</w:t>
      </w:r>
      <w:r>
        <w:t>).</w:t>
      </w:r>
    </w:p>
    <w:p w:rsidR="00756660" w:rsidRDefault="00756660" w:rsidP="00756660">
      <w:pPr>
        <w:pStyle w:val="Akapitzlist"/>
        <w:numPr>
          <w:ilvl w:val="0"/>
          <w:numId w:val="6"/>
        </w:numPr>
        <w:ind w:left="426" w:hanging="426"/>
        <w:jc w:val="both"/>
        <w:rPr>
          <w:rFonts w:cstheme="minorHAnsi"/>
          <w:color w:val="000000"/>
          <w:kern w:val="0"/>
        </w:rPr>
      </w:pPr>
      <w:r w:rsidRPr="00F84779">
        <w:rPr>
          <w:rFonts w:cstheme="minorHAnsi"/>
          <w:color w:val="000000"/>
          <w:kern w:val="0"/>
        </w:rPr>
        <w:lastRenderedPageBreak/>
        <w:t xml:space="preserve">W przypadku ustanowienia inspektora nadzoru inwestorskiego </w:t>
      </w:r>
      <w:r>
        <w:rPr>
          <w:rFonts w:cstheme="minorHAnsi"/>
          <w:color w:val="000000"/>
          <w:kern w:val="0"/>
        </w:rPr>
        <w:t>Wykonawca będzie przekazywał mu na bieżąco dokumentację, o której mowa w pkt IV w celu opracowania przez niego raportów (okresowych i końcowego) opisujących realizację inwestycji zgodnie z wymaganiami opisanymi w pkt II.</w:t>
      </w:r>
    </w:p>
    <w:p w:rsidR="00756660" w:rsidRDefault="00756660" w:rsidP="00756660">
      <w:pPr>
        <w:pStyle w:val="Akapitzlist"/>
        <w:numPr>
          <w:ilvl w:val="0"/>
          <w:numId w:val="6"/>
        </w:numPr>
        <w:ind w:left="426" w:hanging="426"/>
        <w:jc w:val="both"/>
        <w:rPr>
          <w:rFonts w:cstheme="minorHAnsi"/>
          <w:color w:val="000000"/>
          <w:kern w:val="0"/>
        </w:rPr>
      </w:pPr>
      <w:r>
        <w:rPr>
          <w:rFonts w:cstheme="minorHAnsi"/>
          <w:color w:val="000000"/>
          <w:kern w:val="0"/>
        </w:rPr>
        <w:t xml:space="preserve">W przypadku braku ustanowienia </w:t>
      </w:r>
      <w:r w:rsidRPr="00F84779">
        <w:rPr>
          <w:rFonts w:cstheme="minorHAnsi"/>
          <w:color w:val="000000"/>
          <w:kern w:val="0"/>
        </w:rPr>
        <w:t>inspektora nadzoru inwestorskiego</w:t>
      </w:r>
      <w:r>
        <w:rPr>
          <w:rFonts w:cstheme="minorHAnsi"/>
          <w:color w:val="000000"/>
          <w:kern w:val="0"/>
        </w:rPr>
        <w:t>,</w:t>
      </w:r>
      <w:r w:rsidRPr="00F84779">
        <w:rPr>
          <w:rFonts w:cstheme="minorHAnsi"/>
          <w:color w:val="000000"/>
          <w:kern w:val="0"/>
        </w:rPr>
        <w:t xml:space="preserve"> </w:t>
      </w:r>
      <w:r>
        <w:rPr>
          <w:rFonts w:cstheme="minorHAnsi"/>
          <w:color w:val="000000"/>
          <w:kern w:val="0"/>
        </w:rPr>
        <w:t>Wykonawca opracuje samodzielnie raporty okresowe (na każde wezwanie Zamawiającego) i końcowy, które opisywać będą realizację inwestycji zgodnie z wymaganiami opisanymi w pkt II, dołączając do nich dokumentację, o której mowa w pkt IV. Raporty muszą zawierać uzasadnienie realizacji następujących celów:</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3"/>
        <w:gridCol w:w="7293"/>
      </w:tblGrid>
      <w:tr w:rsidR="00756660" w:rsidRPr="007D0F19" w:rsidTr="00A07986">
        <w:trPr>
          <w:trHeight w:val="57"/>
        </w:trPr>
        <w:tc>
          <w:tcPr>
            <w:tcW w:w="1353" w:type="dxa"/>
            <w:shd w:val="clear" w:color="000000" w:fill="FFFFFF"/>
            <w:noWrap/>
          </w:tcPr>
          <w:p w:rsidR="00756660" w:rsidRPr="007D0F19" w:rsidRDefault="00756660" w:rsidP="00A07986">
            <w:pPr>
              <w:tabs>
                <w:tab w:val="left" w:pos="492"/>
              </w:tabs>
              <w:spacing w:after="0" w:line="240" w:lineRule="auto"/>
              <w:jc w:val="center"/>
              <w:rPr>
                <w:rFonts w:ascii="Calibri" w:eastAsia="Times New Roman" w:hAnsi="Calibri" w:cs="Calibri"/>
                <w:b/>
                <w:bCs/>
                <w:color w:val="000000"/>
                <w:kern w:val="0"/>
                <w:sz w:val="16"/>
                <w:szCs w:val="16"/>
                <w:lang w:eastAsia="pl-PL"/>
                <w14:ligatures w14:val="none"/>
              </w:rPr>
            </w:pPr>
            <w:r w:rsidRPr="007D0F19">
              <w:rPr>
                <w:rFonts w:ascii="Calibri" w:eastAsia="Times New Roman" w:hAnsi="Calibri" w:cs="Calibri"/>
                <w:b/>
                <w:bCs/>
                <w:color w:val="000000"/>
                <w:kern w:val="0"/>
                <w:sz w:val="16"/>
                <w:szCs w:val="16"/>
                <w:lang w:eastAsia="pl-PL"/>
                <w14:ligatures w14:val="none"/>
              </w:rPr>
              <w:t>Cel</w:t>
            </w:r>
          </w:p>
        </w:tc>
        <w:tc>
          <w:tcPr>
            <w:tcW w:w="7293" w:type="dxa"/>
            <w:shd w:val="clear" w:color="000000" w:fill="FFFFFF"/>
          </w:tcPr>
          <w:p w:rsidR="00756660" w:rsidRPr="007D0F19" w:rsidRDefault="00756660" w:rsidP="00A07986">
            <w:pPr>
              <w:spacing w:after="0" w:line="240" w:lineRule="auto"/>
              <w:jc w:val="center"/>
              <w:rPr>
                <w:rFonts w:ascii="Calibri" w:eastAsia="Times New Roman" w:hAnsi="Calibri" w:cs="Calibri"/>
                <w:b/>
                <w:bCs/>
                <w:color w:val="000000"/>
                <w:kern w:val="0"/>
                <w:sz w:val="16"/>
                <w:szCs w:val="16"/>
                <w:lang w:eastAsia="pl-PL"/>
                <w14:ligatures w14:val="none"/>
              </w:rPr>
            </w:pPr>
            <w:r w:rsidRPr="007D0F19">
              <w:rPr>
                <w:rFonts w:ascii="Calibri" w:eastAsia="Times New Roman" w:hAnsi="Calibri" w:cs="Calibri"/>
                <w:b/>
                <w:bCs/>
                <w:color w:val="000000"/>
                <w:kern w:val="0"/>
                <w:sz w:val="16"/>
                <w:szCs w:val="16"/>
                <w:lang w:eastAsia="pl-PL"/>
                <w14:ligatures w14:val="none"/>
              </w:rPr>
              <w:t>Opis</w:t>
            </w:r>
          </w:p>
        </w:tc>
      </w:tr>
      <w:tr w:rsidR="00756660" w:rsidRPr="007D0F19" w:rsidTr="00A07986">
        <w:trPr>
          <w:trHeight w:val="57"/>
        </w:trPr>
        <w:tc>
          <w:tcPr>
            <w:tcW w:w="1353" w:type="dxa"/>
            <w:shd w:val="clear" w:color="000000" w:fill="FFFFFF"/>
            <w:noWrap/>
            <w:hideMark/>
          </w:tcPr>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Łagodzenie zmian klimatu</w:t>
            </w:r>
          </w:p>
        </w:tc>
        <w:tc>
          <w:tcPr>
            <w:tcW w:w="7293" w:type="dxa"/>
            <w:shd w:val="clear" w:color="000000" w:fill="FFFFFF"/>
            <w:hideMark/>
          </w:tcPr>
          <w:p w:rsidR="00756660"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W ramach działania przewiduje się zarówno budowę nowych budynków, jak i modernizację już istniejących. W przypadku nowych budynków wartość wskaźnika rocznego zapotrzebowania na nieodnawialną energię pierwotną EP (na potrzeby ogrzewania, wentylacji oraz przygotowania ciepłej wody użytkowej) powinna być na poziomie maksymalnie 65 kWh (m2/rok). Spełnienie wymagań NZEB dla nowych budynków oraz wymagań dyrektywy EPBD w odniesieniu do innych budynków jest</w:t>
            </w:r>
            <w:r>
              <w:rPr>
                <w:rFonts w:ascii="Calibri" w:eastAsia="Times New Roman" w:hAnsi="Calibri" w:cs="Calibri"/>
                <w:color w:val="000000"/>
                <w:kern w:val="0"/>
                <w:sz w:val="16"/>
                <w:szCs w:val="16"/>
                <w:lang w:eastAsia="pl-PL"/>
                <w14:ligatures w14:val="none"/>
              </w:rPr>
              <w:t xml:space="preserve"> </w:t>
            </w:r>
            <w:r w:rsidRPr="007D0F19">
              <w:rPr>
                <w:rFonts w:ascii="Calibri" w:eastAsia="Times New Roman" w:hAnsi="Calibri" w:cs="Calibri"/>
                <w:color w:val="000000"/>
                <w:kern w:val="0"/>
                <w:sz w:val="16"/>
                <w:szCs w:val="16"/>
                <w:lang w:eastAsia="pl-PL"/>
                <w14:ligatures w14:val="none"/>
              </w:rPr>
              <w:t>zapewnione poprzez wdrożenie tych wymagań do krajowych przepisów związanych z projektowaniem i budowaniem budynków – wszystkie nowe budynki muszą spełniać wymagania w zakresie oszczędności energii i izolacyjności cieplnej. Obiekty modernizowane będą wpływać na zmniejszenie emisji gazów cieplarnianych poprzez zastosowanie nowych technologii ich ocieplania oraz ogrzewania i chłodzenia. Możliwe jest też zastosowanie OZE, eliminując lub ograniczając zapotrzebowanie na energię.</w:t>
            </w:r>
          </w:p>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*Dla budynków, w których jest prowadzony remont: zmniejszenie energii służącej do podgrzewania wody użytkowej i ogrzewania budynku, ograniczenie strat energii cieplnej w budynku</w:t>
            </w:r>
          </w:p>
        </w:tc>
      </w:tr>
      <w:tr w:rsidR="00756660" w:rsidRPr="007D0F19" w:rsidTr="00A07986">
        <w:trPr>
          <w:trHeight w:val="57"/>
        </w:trPr>
        <w:tc>
          <w:tcPr>
            <w:tcW w:w="1353" w:type="dxa"/>
            <w:shd w:val="clear" w:color="000000" w:fill="FFFFFF"/>
            <w:noWrap/>
            <w:hideMark/>
          </w:tcPr>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Adaptacja do zmian klimatu</w:t>
            </w:r>
          </w:p>
        </w:tc>
        <w:tc>
          <w:tcPr>
            <w:tcW w:w="7293" w:type="dxa"/>
            <w:shd w:val="clear" w:color="000000" w:fill="FFFFFF"/>
            <w:hideMark/>
          </w:tcPr>
          <w:p w:rsidR="00756660"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 xml:space="preserve">Budynki mogą być narażone na fale upałów. Wymagana termoizolacja takich budynków (modernizowanych, nowobudowanych) przyczyni się do zagwarantowania komfortu cieplnego </w:t>
            </w:r>
            <w:r>
              <w:rPr>
                <w:rFonts w:ascii="Calibri" w:eastAsia="Times New Roman" w:hAnsi="Calibri" w:cs="Calibri"/>
                <w:color w:val="000000"/>
                <w:kern w:val="0"/>
                <w:sz w:val="16"/>
                <w:szCs w:val="16"/>
                <w:lang w:eastAsia="pl-PL"/>
                <w14:ligatures w14:val="none"/>
              </w:rPr>
              <w:t>użytkowników</w:t>
            </w:r>
            <w:r w:rsidRPr="007D0F19">
              <w:rPr>
                <w:rFonts w:ascii="Calibri" w:eastAsia="Times New Roman" w:hAnsi="Calibri" w:cs="Calibri"/>
                <w:color w:val="000000"/>
                <w:kern w:val="0"/>
                <w:sz w:val="16"/>
                <w:szCs w:val="16"/>
                <w:lang w:eastAsia="pl-PL"/>
                <w14:ligatures w14:val="none"/>
              </w:rPr>
              <w:t>, nawet przy ekstremalnie wysokich temperaturach. Pozwala to na uznanie środka za zgodny z zasadą „nie czyń poważnych szkód” w odniesieniu do celu. Obowiązujące krajowe przepisy dotyczące warunków technicznych, jakim powinny odpowiadać budynki i ich usytuowanie, które są obowiązkowo stosowane w nowopowstających budynkach, przewidują obowiązek zachowania odpowiedniej ilości powierzchni biologicznie czynnej. W celu przystosowania do zmian klimatu nowych budynków wdrażane będą rozwiązania adaptacyjne.</w:t>
            </w:r>
          </w:p>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*Dla budynków, w których jest prowadzony remont - nie dotyczy.</w:t>
            </w:r>
          </w:p>
        </w:tc>
      </w:tr>
      <w:tr w:rsidR="00756660" w:rsidRPr="007D0F19" w:rsidTr="00A07986">
        <w:trPr>
          <w:trHeight w:val="57"/>
        </w:trPr>
        <w:tc>
          <w:tcPr>
            <w:tcW w:w="1353" w:type="dxa"/>
            <w:shd w:val="clear" w:color="000000" w:fill="FFFFFF"/>
            <w:hideMark/>
          </w:tcPr>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Zrównoważone wykorzystanie i ochrona zasobów wodnych i morskich</w:t>
            </w:r>
          </w:p>
        </w:tc>
        <w:tc>
          <w:tcPr>
            <w:tcW w:w="7293" w:type="dxa"/>
            <w:shd w:val="clear" w:color="000000" w:fill="FFFFFF"/>
            <w:hideMark/>
          </w:tcPr>
          <w:p w:rsidR="00756660"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Nie przewiduje się, aby środek mógł zagrażać dobremu stanowi lub potencjałowi JCW powierzchniowych i podziemnych oraz dobremu stanowi środowiska morskiego. Obiekty nowe i rozbudowywane będą wykorzystywały nowoczesne technologie oszczędzające zużycie wód, a wody odprowadzane i ścieki, w niewielkiej skali, wynikającej z ograniczonej wielkości obiektów, będą musiały być poddane odpowiedniemu oczyszczaniu. Natomiast w przypadku modernizacji obiektów powinna nastąpić racjonalizacja gospodarki wodnej w ramach obiektu, a więc ograniczenia zużycia wody i produkcji ścieków.</w:t>
            </w:r>
          </w:p>
          <w:p w:rsidR="00756660" w:rsidRPr="007D0F19" w:rsidRDefault="00756660" w:rsidP="00A07986">
            <w:pPr>
              <w:spacing w:after="0" w:line="240" w:lineRule="auto"/>
              <w:rPr>
                <w:rFonts w:ascii="Calibri" w:eastAsia="Times New Roman" w:hAnsi="Calibri" w:cs="Calibri"/>
                <w:i/>
                <w:iCs/>
                <w:color w:val="000000"/>
                <w:kern w:val="0"/>
                <w:sz w:val="16"/>
                <w:szCs w:val="16"/>
                <w:lang w:eastAsia="pl-PL"/>
                <w14:ligatures w14:val="none"/>
              </w:rPr>
            </w:pPr>
            <w:r w:rsidRPr="007D0F19">
              <w:rPr>
                <w:rFonts w:cstheme="minorHAnsi"/>
                <w:i/>
                <w:iCs/>
                <w:color w:val="000000"/>
                <w:kern w:val="0"/>
                <w:sz w:val="16"/>
                <w:szCs w:val="16"/>
              </w:rPr>
              <w:t>Uzasadnienie realizacji celu należy w szczególności zbudować w oparciu o zgodność przedsięwzięcia z odpowiednimi przepisami prawa krajowego.</w:t>
            </w:r>
          </w:p>
        </w:tc>
      </w:tr>
      <w:tr w:rsidR="00756660" w:rsidRPr="007D0F19" w:rsidTr="00A07986">
        <w:trPr>
          <w:trHeight w:val="57"/>
        </w:trPr>
        <w:tc>
          <w:tcPr>
            <w:tcW w:w="1353" w:type="dxa"/>
            <w:shd w:val="clear" w:color="000000" w:fill="FFFFFF"/>
            <w:hideMark/>
          </w:tcPr>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Gospodarka o obiegu zamkniętym, w tym zapobieganie powstawaniu odpadów i recykling</w:t>
            </w:r>
          </w:p>
        </w:tc>
        <w:tc>
          <w:tcPr>
            <w:tcW w:w="7293" w:type="dxa"/>
            <w:shd w:val="clear" w:color="000000" w:fill="FFFFFF"/>
            <w:hideMark/>
          </w:tcPr>
          <w:p w:rsidR="00756660"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W ramach działania przewiduje się zarówno budowę nowych budynków, jak i modernizację już istniejących. Zgodnie z Dyrektywą odpadową 2008/98/WE (art. 11, ust. 2, pkt b), wymaganie dotyczące osiągnięcia co najmniej 70% ponownego użycia, recyklingu i odzysku odpadów budowlanych i rozbiórkowych zostanie wdrożone do krajowego porządku prawnego. W związku z tym, automatycznie, działania ubiegające się o wsparcie, będą musiały wykazać spełnienie tego warunku. Ponadto w kryteriach wyboru projektów wprowadzone będą szczegółowe wymagania dla projektów ubiegających się o wsparcie, które będą obejmować:</w:t>
            </w:r>
          </w:p>
          <w:p w:rsidR="00756660"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 Wymóg uzyskania wskaźnika co najmniej 70% (wagowo) odpadów budowlanych i rozbiórkowych innych niż niebezpieczne (z wyłączeniem naturalnie występujących materiałów, o których mowa w kategorii 17 05 04 w europejskim wykazie odpadów ustanowionym decyzją 2000/532/WE) wytworzonych na placu budowy, będzie przygotowywane do ponownego użycia, recyklingu i innego odzysku materiałów, w tym do wypełniania wyrobisk z wykorzystaniem odpadów w celu zastąpienia innych materiałów, zgodnie z hierarchią postępowania z odpadami oraz unijnym protokołem w sprawie gospodarowania odpadami budowlanymi i rozbiórkowymi.</w:t>
            </w:r>
          </w:p>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 xml:space="preserve">− Ograniczenie na poziomie inwestora wytwarzania odpadów w procesach związanych z budową i rozbiórką, zgodnie z unijnym protokołem w sprawie gospodarowania odpadami budowlanymi i rozbiórkowymi oraz z uwzględnieniem najlepszych dostępnych technik i stosowania selektywnej rozbiórki, aby umożliwić usuwanie i bezpieczne obchodzenie się z substancjami niebezpiecznymi oraz ułatwić ponowne użycie i wysokiej jakości recykling poprzez selektywne usuwanie materiałów, z wykorzystaniem dostępnych systemów sortowania odpadów budowlanych i rozbiórkowych. Wymóg uwzględnienia GOZ w projektach budowlanych i stosowanych technologiach budowlanych. W szczególności dotyczy to projektowania tak, aby inwestycje były </w:t>
            </w:r>
            <w:proofErr w:type="spellStart"/>
            <w:r w:rsidRPr="007D0F19">
              <w:rPr>
                <w:rFonts w:ascii="Calibri" w:eastAsia="Times New Roman" w:hAnsi="Calibri" w:cs="Calibri"/>
                <w:color w:val="000000"/>
                <w:kern w:val="0"/>
                <w:sz w:val="16"/>
                <w:szCs w:val="16"/>
                <w:lang w:eastAsia="pl-PL"/>
                <w14:ligatures w14:val="none"/>
              </w:rPr>
              <w:t>zasobooszczędne</w:t>
            </w:r>
            <w:proofErr w:type="spellEnd"/>
            <w:r w:rsidRPr="007D0F19">
              <w:rPr>
                <w:rFonts w:ascii="Calibri" w:eastAsia="Times New Roman" w:hAnsi="Calibri" w:cs="Calibri"/>
                <w:color w:val="000000"/>
                <w:kern w:val="0"/>
                <w:sz w:val="16"/>
                <w:szCs w:val="16"/>
                <w:lang w:eastAsia="pl-PL"/>
                <w14:ligatures w14:val="none"/>
              </w:rPr>
              <w:t xml:space="preserve"> i </w:t>
            </w:r>
            <w:proofErr w:type="spellStart"/>
            <w:r w:rsidRPr="007D0F19">
              <w:rPr>
                <w:rFonts w:ascii="Calibri" w:eastAsia="Times New Roman" w:hAnsi="Calibri" w:cs="Calibri"/>
                <w:color w:val="000000"/>
                <w:kern w:val="0"/>
                <w:sz w:val="16"/>
                <w:szCs w:val="16"/>
                <w:lang w:eastAsia="pl-PL"/>
                <w14:ligatures w14:val="none"/>
              </w:rPr>
              <w:t>demontowalne</w:t>
            </w:r>
            <w:proofErr w:type="spellEnd"/>
            <w:r w:rsidRPr="007D0F19">
              <w:rPr>
                <w:rFonts w:ascii="Calibri" w:eastAsia="Times New Roman" w:hAnsi="Calibri" w:cs="Calibri"/>
                <w:color w:val="000000"/>
                <w:kern w:val="0"/>
                <w:sz w:val="16"/>
                <w:szCs w:val="16"/>
                <w:lang w:eastAsia="pl-PL"/>
                <w14:ligatures w14:val="none"/>
              </w:rPr>
              <w:t>, aby umożliwić ponowne użycie i recykling (w odniesieniu do ISO 20887 lub innych norm dotyczących oceny możliwości demontażu lub adaptacji budynków)</w:t>
            </w:r>
          </w:p>
        </w:tc>
      </w:tr>
      <w:tr w:rsidR="00756660" w:rsidRPr="007D0F19" w:rsidTr="00A07986">
        <w:trPr>
          <w:trHeight w:val="57"/>
        </w:trPr>
        <w:tc>
          <w:tcPr>
            <w:tcW w:w="1353" w:type="dxa"/>
            <w:shd w:val="clear" w:color="000000" w:fill="FFFFFF"/>
            <w:hideMark/>
          </w:tcPr>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Zapobieganie zanieczyszczeniom powietrza, wody lub gleby i jego kontrola</w:t>
            </w:r>
          </w:p>
        </w:tc>
        <w:tc>
          <w:tcPr>
            <w:tcW w:w="7293" w:type="dxa"/>
            <w:shd w:val="clear" w:color="000000" w:fill="FFFFFF"/>
            <w:hideMark/>
          </w:tcPr>
          <w:p w:rsidR="00756660"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t xml:space="preserve">Nie oczekuje się, że inwestycje objęte wsparciem doprowadzą do istotnego zwiększenia poziomu emisji zanieczyszczeń do powietrza, wody lub gleby, ponieważ zakłada się budowę energooszczędnych budynków. Podobnie, w przypadku modernizacji obiektów, będą zastosowane odpowiednie środki, aby ograniczyć emisje zanieczyszczeń powietrza (termoizolacja, niskoemisyjne źródła energii, OZE), do wód (racjonalna gospodarka wodna i ew. oczyszczanie ścieków). Nie przewiduje się, aby jakiekolwiek zanieczyszczenia były odprowadzane </w:t>
            </w:r>
            <w:r w:rsidRPr="007D0F19">
              <w:rPr>
                <w:rFonts w:ascii="Calibri" w:eastAsia="Times New Roman" w:hAnsi="Calibri" w:cs="Calibri"/>
                <w:color w:val="000000"/>
                <w:kern w:val="0"/>
                <w:sz w:val="16"/>
                <w:szCs w:val="16"/>
                <w:lang w:eastAsia="pl-PL"/>
                <w14:ligatures w14:val="none"/>
              </w:rPr>
              <w:lastRenderedPageBreak/>
              <w:t>do gleb. Proces realizacji inwestycji prowadzony będzie zgodnie z wymaganiami ochrony środowiska przed zanieczyszczeniem. Materiały użyte do budowy zgodnie z przepisami krajowymi nie mogą zawierać azbestu. Przepisy określające wymagania dla wyrobów budowlanych, jakie mogą być stosowane na rynku krajowym są zgodne z regulacjami ukształtowanymi w Unii Europejskiej. Dodatkowo, ustawa – Prawo budowlane przewiduje, że budynki muszą spełniać wymagania podstawowe, w tym m.in. wymaganie w zakresie higieny, zdrowia i środowiska oraz zrównoważonego wykorzystania zasobów naturalnych (art. 5 ust. 1 pkt 1 lit. c i lit. g ustawy z dnia 7 lipca 1994 r. Prawo budowlane). W wymaganiach dla projektów objętych wsparciem wprowadzane będą wymagania używania do budowy komponentów i materiałów budowlanych, które nie zawierają azbestu (zgodnie z przepisami krajowymi), a także substancji wzbudzających szczególnie duże obawy, zidentyfikowanych na podstawie wykazu substancji podlegających obowiązkowi uzyskania zezwolenia określonego w załączniku XIV do rozporządzenia (WE) nr 1907/2006 Parlamentu Europejskiego i Rady. W celu zapewnienia zgodności z zasadą DSH stosowane mogą być tylko takie materiały budowlane (mogące mieć kontakt z użytkownikami), które emitują mniej niż 0,06 mg formaldehydu na m³ materiału lub składnika i mniej niż 0,001 mg kategorii 1A i 1B rakotwórczych lotnych związków organicznych na m³ materiału lub składnika, podczas badania zgodnie z CEN/TS 16516 i ISO 16000-3 lub innymi porównywalnymi znormalizowanymi warunkami badań i metodami oznaczania. W przypadku, gdy nowa inwestycja objęta wsparciem planowana będzie na potencjalnie zanieczyszczonym terenie (np. teren poprzemysłowy), wymagane będzie przeprowadzenie badań terenu pod kątem potencjalnych zanieczyszczeń, np. przy użyciu normy ISO 18400.</w:t>
            </w:r>
          </w:p>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cstheme="minorHAnsi"/>
                <w:i/>
                <w:iCs/>
                <w:color w:val="000000"/>
                <w:kern w:val="0"/>
                <w:sz w:val="16"/>
                <w:szCs w:val="16"/>
              </w:rPr>
              <w:t>Uzasadnienie realizacji celu należy w szczególności zbudować w oparciu o zgodność przedsięwzięcia z odpowiednimi przepisami prawa krajowego.</w:t>
            </w:r>
          </w:p>
        </w:tc>
      </w:tr>
      <w:tr w:rsidR="00756660" w:rsidRPr="007D0F19" w:rsidTr="00A07986">
        <w:trPr>
          <w:trHeight w:val="57"/>
        </w:trPr>
        <w:tc>
          <w:tcPr>
            <w:tcW w:w="1353" w:type="dxa"/>
            <w:shd w:val="clear" w:color="000000" w:fill="FFFFFF"/>
            <w:hideMark/>
          </w:tcPr>
          <w:p w:rsidR="00756660" w:rsidRPr="007D0F19" w:rsidRDefault="00756660" w:rsidP="00A07986">
            <w:pPr>
              <w:spacing w:after="0" w:line="240" w:lineRule="auto"/>
              <w:rPr>
                <w:rFonts w:ascii="Calibri" w:eastAsia="Times New Roman" w:hAnsi="Calibri" w:cs="Calibri"/>
                <w:color w:val="000000"/>
                <w:kern w:val="0"/>
                <w:sz w:val="16"/>
                <w:szCs w:val="16"/>
                <w:lang w:eastAsia="pl-PL"/>
                <w14:ligatures w14:val="none"/>
              </w:rPr>
            </w:pPr>
            <w:r w:rsidRPr="007D0F19">
              <w:rPr>
                <w:rFonts w:ascii="Calibri" w:eastAsia="Times New Roman" w:hAnsi="Calibri" w:cs="Calibri"/>
                <w:color w:val="000000"/>
                <w:kern w:val="0"/>
                <w:sz w:val="16"/>
                <w:szCs w:val="16"/>
                <w:lang w:eastAsia="pl-PL"/>
                <w14:ligatures w14:val="none"/>
              </w:rPr>
              <w:lastRenderedPageBreak/>
              <w:t>Ochrona i odbudowa bioróżnorodności i ekosystemów</w:t>
            </w:r>
          </w:p>
        </w:tc>
        <w:tc>
          <w:tcPr>
            <w:tcW w:w="7293" w:type="dxa"/>
            <w:shd w:val="clear" w:color="000000" w:fill="FFFFFF"/>
            <w:hideMark/>
          </w:tcPr>
          <w:p w:rsidR="00756660" w:rsidRPr="007D0F19" w:rsidRDefault="00756660" w:rsidP="00A07986">
            <w:pPr>
              <w:spacing w:after="0" w:line="240" w:lineRule="auto"/>
              <w:rPr>
                <w:rFonts w:ascii="Calibri" w:eastAsia="Times New Roman" w:hAnsi="Calibri" w:cs="Calibri"/>
                <w:bCs/>
                <w:color w:val="000000"/>
                <w:kern w:val="0"/>
                <w:sz w:val="16"/>
                <w:szCs w:val="16"/>
                <w:lang w:eastAsia="pl-PL"/>
                <w14:ligatures w14:val="none"/>
              </w:rPr>
            </w:pPr>
            <w:r w:rsidRPr="007D0F19">
              <w:rPr>
                <w:rFonts w:ascii="Calibri" w:eastAsia="Times New Roman" w:hAnsi="Calibri" w:cs="Calibri"/>
                <w:bCs/>
                <w:color w:val="000000"/>
                <w:kern w:val="0"/>
                <w:sz w:val="16"/>
                <w:szCs w:val="16"/>
                <w:lang w:eastAsia="pl-PL"/>
                <w14:ligatures w14:val="none"/>
              </w:rPr>
              <w:t>Środek nie wpłynie znacząco na ochronę i odbudowę bioróżnorodności oraz ekosystemów. Obiekty modernizowane, na ogół, są zlokalizowane w obrębach miast i mają utrwalony wpływ na środowisko miejskie. Obiekty rozbudowywane mogą zająć dodatkowy teren i z tym może być związany dodatkowy wpływ na ekosystemy miejskie, ale nie powinien on być znaczący. Lokalizacja nowych obiektów powinna być tak zlokalizowana by ten wpływ był minimalizowany, choć ogólnie można stwierdzić, że obiekty tego typy są lokalizowane w miastach i ich wpływ na przyrodę jest ograniczony i dotyczy głównie zajęcia terenu</w:t>
            </w:r>
          </w:p>
          <w:p w:rsidR="00756660" w:rsidRDefault="00756660" w:rsidP="00A07986">
            <w:pPr>
              <w:spacing w:after="0" w:line="240" w:lineRule="auto"/>
              <w:rPr>
                <w:rFonts w:ascii="Calibri" w:eastAsia="Times New Roman" w:hAnsi="Calibri" w:cs="Calibri"/>
                <w:bCs/>
                <w:color w:val="000000"/>
                <w:kern w:val="0"/>
                <w:sz w:val="16"/>
                <w:szCs w:val="16"/>
                <w:lang w:eastAsia="pl-PL"/>
                <w14:ligatures w14:val="none"/>
              </w:rPr>
            </w:pPr>
            <w:r w:rsidRPr="007D0F19">
              <w:rPr>
                <w:rFonts w:ascii="Calibri" w:eastAsia="Times New Roman" w:hAnsi="Calibri" w:cs="Calibri"/>
                <w:bCs/>
                <w:color w:val="000000"/>
                <w:kern w:val="0"/>
                <w:sz w:val="16"/>
                <w:szCs w:val="16"/>
                <w:lang w:eastAsia="pl-PL"/>
                <w14:ligatures w14:val="none"/>
              </w:rPr>
              <w:t xml:space="preserve">* jeśli dotyczy zakupu działki/ pozyskania nowego terenu </w:t>
            </w:r>
          </w:p>
          <w:p w:rsidR="00756660" w:rsidRPr="007D0F19" w:rsidRDefault="00756660" w:rsidP="00A07986">
            <w:pPr>
              <w:spacing w:after="0" w:line="240" w:lineRule="auto"/>
              <w:rPr>
                <w:rFonts w:ascii="Calibri" w:eastAsia="Times New Roman" w:hAnsi="Calibri" w:cs="Calibri"/>
                <w:bCs/>
                <w:color w:val="000000"/>
                <w:kern w:val="0"/>
                <w:sz w:val="16"/>
                <w:szCs w:val="16"/>
                <w:lang w:eastAsia="pl-PL"/>
                <w14:ligatures w14:val="none"/>
              </w:rPr>
            </w:pPr>
            <w:r w:rsidRPr="007D0F19">
              <w:rPr>
                <w:rFonts w:cstheme="minorHAnsi"/>
                <w:i/>
                <w:iCs/>
                <w:color w:val="000000"/>
                <w:kern w:val="0"/>
                <w:sz w:val="16"/>
                <w:szCs w:val="16"/>
              </w:rPr>
              <w:t>Uzasadnienie realizacji celu należy w szczególności zbudować w oparciu o zgodność przedsięwzięcia z odpowiednimi przepisami prawa krajowego.</w:t>
            </w:r>
          </w:p>
        </w:tc>
      </w:tr>
    </w:tbl>
    <w:p w:rsidR="00756660" w:rsidRPr="009B7BCC" w:rsidRDefault="00756660" w:rsidP="00756660">
      <w:pPr>
        <w:jc w:val="both"/>
      </w:pPr>
    </w:p>
    <w:p w:rsidR="009F53B3" w:rsidRDefault="009F53B3"/>
    <w:sectPr w:rsidR="009F53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9BC"/>
    <w:multiLevelType w:val="hybridMultilevel"/>
    <w:tmpl w:val="F7B0C0EA"/>
    <w:lvl w:ilvl="0" w:tplc="BE6816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3E038D4"/>
    <w:multiLevelType w:val="hybridMultilevel"/>
    <w:tmpl w:val="B48E4E16"/>
    <w:lvl w:ilvl="0" w:tplc="0E5E721E">
      <w:start w:val="1"/>
      <w:numFmt w:val="lowerRoman"/>
      <w:lvlText w:val="%1)"/>
      <w:lvlJc w:val="left"/>
      <w:pPr>
        <w:ind w:left="1069" w:hanging="360"/>
      </w:pPr>
      <w:rPr>
        <w:rFonts w:asciiTheme="minorHAnsi" w:eastAsiaTheme="minorHAnsi" w:hAnsiTheme="minorHAnsi" w:cstheme="minorHAnsi"/>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216972B7"/>
    <w:multiLevelType w:val="hybridMultilevel"/>
    <w:tmpl w:val="DA80E50A"/>
    <w:lvl w:ilvl="0" w:tplc="6E8A25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04012C8"/>
    <w:multiLevelType w:val="hybridMultilevel"/>
    <w:tmpl w:val="22D8061E"/>
    <w:lvl w:ilvl="0" w:tplc="FF82BE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0E67A2"/>
    <w:multiLevelType w:val="hybridMultilevel"/>
    <w:tmpl w:val="F0406550"/>
    <w:lvl w:ilvl="0" w:tplc="6F4E9C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77B956F4"/>
    <w:multiLevelType w:val="hybridMultilevel"/>
    <w:tmpl w:val="57085C6E"/>
    <w:lvl w:ilvl="0" w:tplc="3CDE7526">
      <w:start w:val="1"/>
      <w:numFmt w:val="decimal"/>
      <w:lvlText w:val="%1."/>
      <w:lvlJc w:val="righ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141FAE"/>
    <w:multiLevelType w:val="hybridMultilevel"/>
    <w:tmpl w:val="77162D52"/>
    <w:lvl w:ilvl="0" w:tplc="F9A8645E">
      <w:start w:val="1"/>
      <w:numFmt w:val="decimal"/>
      <w:lvlText w:val="%1."/>
      <w:lvlJc w:val="left"/>
      <w:pPr>
        <w:ind w:left="2160" w:hanging="360"/>
      </w:pPr>
      <w:rPr>
        <w:rFonts w:asciiTheme="minorHAnsi" w:eastAsiaTheme="minorHAnsi" w:hAnsiTheme="minorHAnsi" w:cstheme="minorHAnsi"/>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1554612217">
    <w:abstractNumId w:val="5"/>
  </w:num>
  <w:num w:numId="2" w16cid:durableId="481047040">
    <w:abstractNumId w:val="0"/>
  </w:num>
  <w:num w:numId="3" w16cid:durableId="1277522552">
    <w:abstractNumId w:val="2"/>
  </w:num>
  <w:num w:numId="4" w16cid:durableId="69237428">
    <w:abstractNumId w:val="1"/>
  </w:num>
  <w:num w:numId="5" w16cid:durableId="1654261083">
    <w:abstractNumId w:val="6"/>
  </w:num>
  <w:num w:numId="6" w16cid:durableId="1369985909">
    <w:abstractNumId w:val="3"/>
  </w:num>
  <w:num w:numId="7" w16cid:durableId="820735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660"/>
    <w:rsid w:val="00617C25"/>
    <w:rsid w:val="00756660"/>
    <w:rsid w:val="007903F6"/>
    <w:rsid w:val="009F53B3"/>
    <w:rsid w:val="00F203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3B2CCB5"/>
  <w15:chartTrackingRefBased/>
  <w15:docId w15:val="{0895BDED-5B3E-BD47-B95E-0E317946C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6660"/>
    <w:pPr>
      <w:spacing w:after="160" w:line="259"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6660"/>
    <w:pPr>
      <w:ind w:left="720"/>
      <w:contextualSpacing/>
    </w:pPr>
  </w:style>
  <w:style w:type="paragraph" w:customStyle="1" w:styleId="CM4">
    <w:name w:val="CM4"/>
    <w:basedOn w:val="Normalny"/>
    <w:next w:val="Normalny"/>
    <w:uiPriority w:val="99"/>
    <w:rsid w:val="00756660"/>
    <w:pPr>
      <w:autoSpaceDE w:val="0"/>
      <w:autoSpaceDN w:val="0"/>
      <w:adjustRightInd w:val="0"/>
      <w:spacing w:after="0" w:line="240" w:lineRule="auto"/>
    </w:pPr>
    <w:rPr>
      <w:rFonts w:ascii="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2715</Words>
  <Characters>16295</Characters>
  <Application>Microsoft Office Word</Application>
  <DocSecurity>0</DocSecurity>
  <Lines>135</Lines>
  <Paragraphs>37</Paragraphs>
  <ScaleCrop>false</ScaleCrop>
  <Company/>
  <LinksUpToDate>false</LinksUpToDate>
  <CharactersWithSpaces>18973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Sługocki</dc:creator>
  <cp:keywords/>
  <dc:description/>
  <cp:lastModifiedBy>Paweł Sługocki</cp:lastModifiedBy>
  <cp:revision>2</cp:revision>
  <dcterms:created xsi:type="dcterms:W3CDTF">2025-05-19T10:15:00Z</dcterms:created>
  <dcterms:modified xsi:type="dcterms:W3CDTF">2025-05-19T10:15:00Z</dcterms:modified>
</cp:coreProperties>
</file>